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4F8BC62" w14:paraId="2C078E63" wp14:textId="187951C5">
      <w:pPr>
        <w:rPr>
          <w:b w:val="1"/>
          <w:bCs w:val="1"/>
        </w:rPr>
      </w:pPr>
      <w:bookmarkStart w:name="_GoBack" w:id="0"/>
      <w:bookmarkEnd w:id="0"/>
      <w:r w:rsidRPr="54F8BC62" w:rsidR="69ECC0F6">
        <w:rPr>
          <w:b w:val="1"/>
          <w:bCs w:val="1"/>
        </w:rPr>
        <w:t xml:space="preserve">Notes </w:t>
      </w:r>
    </w:p>
    <w:p w:rsidR="055C9229" w:rsidP="54F8BC62" w:rsidRDefault="055C9229" w14:paraId="08E7059D" w14:textId="1454BA8F">
      <w:pPr>
        <w:pStyle w:val="ListParagraph"/>
        <w:numPr>
          <w:ilvl w:val="0"/>
          <w:numId w:val="3"/>
        </w:numPr>
        <w:spacing w:before="0" w:beforeAutospacing="off" w:after="0" w:afterAutospacing="off"/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</w:pPr>
      <w:r w:rsidRPr="54F8BC62" w:rsidR="055C9229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  <w:t xml:space="preserve">Among U.S. adults aged 20 and over, 57.6% used any dietary supplement in the past </w:t>
      </w:r>
      <w:r w:rsidRPr="54F8BC62" w:rsidR="055C9229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  <w:t>30 days</w:t>
      </w:r>
      <w:r w:rsidRPr="54F8BC62" w:rsidR="055C9229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  <w:t>, and use was higher among women (63.8%) than men (50.8%).</w:t>
      </w:r>
    </w:p>
    <w:p w:rsidR="055C9229" w:rsidP="54F8BC62" w:rsidRDefault="055C9229" w14:paraId="2BAB6859" w14:textId="2DC1E448">
      <w:pPr>
        <w:pStyle w:val="ListParagraph"/>
        <w:numPr>
          <w:ilvl w:val="0"/>
          <w:numId w:val="3"/>
        </w:numPr>
        <w:spacing w:before="0" w:beforeAutospacing="off" w:after="0" w:afterAutospacing="off"/>
        <w:jc w:val="left"/>
        <w:rPr>
          <w:noProof w:val="0"/>
          <w:lang w:val="en-US"/>
        </w:rPr>
      </w:pPr>
      <w:r w:rsidRPr="54F8BC62" w:rsidR="055C9229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  <w:t>3 most common multivitamin-mineral supplements, followed by vitamin D and omega-3 fatty acid supplements.</w:t>
      </w:r>
    </w:p>
    <w:p w:rsidR="055C9229" w:rsidP="54F8BC62" w:rsidRDefault="055C9229" w14:paraId="4CAF5C94" w14:textId="1E879D4F">
      <w:pPr>
        <w:pStyle w:val="ListParagraph"/>
        <w:numPr>
          <w:ilvl w:val="0"/>
          <w:numId w:val="3"/>
        </w:numPr>
        <w:spacing w:before="0" w:beforeAutospacing="off" w:after="0" w:afterAutospacing="off"/>
        <w:jc w:val="left"/>
        <w:rPr>
          <w:noProof w:val="0"/>
          <w:lang w:val="en-US"/>
        </w:rPr>
      </w:pPr>
      <w:r w:rsidRPr="54F8BC62" w:rsidR="055C9229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  <w:t xml:space="preserve">Among adults aged 20 and over, 42.4% used none, 22.5% used one, 13.8% used two, 7.5% used three, and 13.8% used four or more dietary supplements in the past </w:t>
      </w:r>
      <w:r w:rsidRPr="54F8BC62" w:rsidR="055C9229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  <w:t>30 days</w:t>
      </w:r>
    </w:p>
    <w:p w:rsidR="055C9229" w:rsidP="54F8BC62" w:rsidRDefault="055C9229" w14:paraId="09ED14BD" w14:textId="676AC59A">
      <w:pPr>
        <w:pStyle w:val="ListParagraph"/>
        <w:numPr>
          <w:ilvl w:val="0"/>
          <w:numId w:val="3"/>
        </w:numPr>
        <w:spacing w:before="0" w:beforeAutospacing="off" w:after="0" w:afterAutospacing="off"/>
        <w:jc w:val="left"/>
        <w:rPr/>
      </w:pPr>
      <w:r w:rsidR="055C9229">
        <w:drawing>
          <wp:inline wp14:editId="7EA2969A" wp14:anchorId="555719C0">
            <wp:extent cx="4572000" cy="2952750"/>
            <wp:effectExtent l="0" t="0" r="0" b="0"/>
            <wp:docPr id="21039135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e38cfffcc1f45a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55C9229" w:rsidP="54F8BC62" w:rsidRDefault="055C9229" w14:paraId="34086DD9" w14:textId="508AD6D3">
      <w:pPr>
        <w:pStyle w:val="ListParagraph"/>
        <w:numPr>
          <w:ilvl w:val="0"/>
          <w:numId w:val="3"/>
        </w:numPr>
        <w:spacing w:before="0" w:beforeAutospacing="off" w:after="0" w:afterAutospacing="off"/>
        <w:jc w:val="left"/>
        <w:rPr/>
      </w:pPr>
      <w:r w:rsidR="055C9229">
        <w:drawing>
          <wp:inline wp14:editId="778AE737" wp14:anchorId="59BB1021">
            <wp:extent cx="4572000" cy="2924175"/>
            <wp:effectExtent l="0" t="0" r="0" b="0"/>
            <wp:docPr id="14775918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600173dec564aa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55C9229" w:rsidP="54F8BC62" w:rsidRDefault="055C9229" w14:paraId="49E06965" w14:textId="1BC83E1C">
      <w:pPr>
        <w:pStyle w:val="ListParagraph"/>
        <w:numPr>
          <w:ilvl w:val="0"/>
          <w:numId w:val="3"/>
        </w:numPr>
        <w:spacing w:before="0" w:beforeAutospacing="off" w:after="0" w:afterAutospacing="off"/>
        <w:jc w:val="left"/>
        <w:rPr>
          <w:noProof w:val="0"/>
          <w:lang w:val="en-US"/>
        </w:rPr>
      </w:pPr>
      <w:r w:rsidRPr="54F8BC62" w:rsidR="055C9229">
        <w:rPr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 xml:space="preserve">The prevalence of PFS users in the Dutch population was approximately 10% for men, 17% for women and 13% for children. A wide variety of PFS was used, with around 600 different PFS reported, </w:t>
      </w:r>
      <w:r w:rsidRPr="54F8BC62" w:rsidR="055C9229">
        <w:rPr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>containing</w:t>
      </w:r>
      <w:r w:rsidRPr="54F8BC62" w:rsidR="055C9229">
        <w:rPr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 xml:space="preserve"> 345 different botanicals. The most </w:t>
      </w:r>
      <w:r w:rsidRPr="54F8BC62" w:rsidR="055C9229">
        <w:rPr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>frequently</w:t>
      </w:r>
      <w:r w:rsidRPr="54F8BC62" w:rsidR="055C9229">
        <w:rPr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 xml:space="preserve"> used botanicals were echinacea (Echinacea purpurea), ginkgo (Ginkgo biloba), cranberry (Vaccinium macrocarpon), ginseng (Panax ginseng) and algae (such as species belonging to the genus Spirulina or Chlorella).</w:t>
      </w:r>
    </w:p>
    <w:p w:rsidR="2E5C1327" w:rsidP="54F8BC62" w:rsidRDefault="2E5C1327" w14:paraId="30CE4C92" w14:textId="7E8F9EE8">
      <w:pPr>
        <w:pStyle w:val="ListParagraph"/>
        <w:numPr>
          <w:ilvl w:val="0"/>
          <w:numId w:val="3"/>
        </w:numPr>
        <w:spacing w:before="0" w:beforeAutospacing="off" w:after="0" w:afterAutospacing="off"/>
        <w:jc w:val="left"/>
        <w:rPr>
          <w:noProof w:val="0"/>
          <w:lang w:val="en-US"/>
        </w:rPr>
      </w:pPr>
      <w:r w:rsidRPr="54F8BC62" w:rsidR="2E5C1327">
        <w:rPr>
          <w:noProof w:val="0"/>
          <w:lang w:val="en-US"/>
        </w:rPr>
        <w:t xml:space="preserve">From the national food consumption </w:t>
      </w:r>
      <w:r w:rsidRPr="54F8BC62" w:rsidR="2E5C1327">
        <w:rPr>
          <w:noProof w:val="0"/>
          <w:lang w:val="en-US"/>
        </w:rPr>
        <w:t>surveys</w:t>
      </w:r>
      <w:r w:rsidRPr="54F8BC62" w:rsidR="2E5C1327">
        <w:rPr>
          <w:noProof w:val="0"/>
          <w:lang w:val="en-US"/>
        </w:rPr>
        <w:t xml:space="preserve"> </w:t>
      </w:r>
      <w:r w:rsidRPr="54F8BC62" w:rsidR="2E5C1327">
        <w:rPr>
          <w:noProof w:val="0"/>
          <w:lang w:val="en-US"/>
        </w:rPr>
        <w:t>it seems that the percentage of supplement users</w:t>
      </w:r>
      <w:r w:rsidRPr="54F8BC62" w:rsidR="2E5C1327">
        <w:rPr>
          <w:noProof w:val="0"/>
          <w:lang w:val="en-US"/>
        </w:rPr>
        <w:t xml:space="preserve"> increases over time; from 17% in 1987/1988 to 27% in 2003</w:t>
      </w:r>
    </w:p>
    <w:p w:rsidR="6FAB13B5" w:rsidP="54F8BC62" w:rsidRDefault="6FAB13B5" w14:paraId="237F1D26" w14:textId="730F6C0D">
      <w:pPr>
        <w:pStyle w:val="ListParagraph"/>
        <w:numPr>
          <w:ilvl w:val="0"/>
          <w:numId w:val="3"/>
        </w:numPr>
        <w:spacing w:before="0" w:beforeAutospacing="off" w:after="0" w:afterAutospacing="off"/>
        <w:jc w:val="left"/>
        <w:rPr/>
      </w:pPr>
      <w:r w:rsidR="6FAB13B5">
        <w:drawing>
          <wp:inline wp14:editId="4E705158" wp14:anchorId="251BE2EE">
            <wp:extent cx="4410075" cy="4572000"/>
            <wp:effectExtent l="0" t="0" r="0" b="0"/>
            <wp:docPr id="8946028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c250796942e4d0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FAB13B5" w:rsidP="54F8BC62" w:rsidRDefault="6FAB13B5" w14:paraId="3F883E8C" w14:textId="28165F09">
      <w:pPr>
        <w:pStyle w:val="ListParagraph"/>
        <w:numPr>
          <w:ilvl w:val="0"/>
          <w:numId w:val="3"/>
        </w:numPr>
        <w:spacing w:before="0" w:beforeAutospacing="off" w:after="0" w:afterAutospacing="off"/>
        <w:jc w:val="left"/>
        <w:rPr/>
      </w:pPr>
      <w:r w:rsidR="6FAB13B5">
        <w:drawing>
          <wp:inline wp14:editId="5B9C4047" wp14:anchorId="06DE1343">
            <wp:extent cx="4476750" cy="2533650"/>
            <wp:effectExtent l="0" t="0" r="0" b="0"/>
            <wp:docPr id="4809016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5c09bdef63a49d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4F8BC62" w:rsidP="54F8BC62" w:rsidRDefault="54F8BC62" w14:paraId="280C555D" w14:textId="09FA09A4">
      <w:pPr>
        <w:pStyle w:val="Normal"/>
        <w:rPr>
          <w:b w:val="1"/>
          <w:bCs w:val="1"/>
        </w:rPr>
      </w:pPr>
    </w:p>
    <w:p w:rsidR="69ECC0F6" w:rsidP="54F8BC62" w:rsidRDefault="69ECC0F6" w14:paraId="3D969E45" w14:textId="7E1B58CF">
      <w:pPr>
        <w:pStyle w:val="Normal"/>
        <w:rPr>
          <w:b w:val="1"/>
          <w:bCs w:val="1"/>
        </w:rPr>
      </w:pPr>
      <w:r w:rsidRPr="54F8BC62" w:rsidR="69ECC0F6">
        <w:rPr>
          <w:b w:val="1"/>
          <w:bCs w:val="1"/>
        </w:rPr>
        <w:t xml:space="preserve">Analysis </w:t>
      </w:r>
    </w:p>
    <w:p w:rsidR="1BEF1E1A" w:rsidP="54F8BC62" w:rsidRDefault="1BEF1E1A" w14:paraId="23980902" w14:textId="0528564D">
      <w:pPr>
        <w:pStyle w:val="Normal"/>
        <w:rPr>
          <w:b w:val="0"/>
          <w:bCs w:val="0"/>
        </w:rPr>
      </w:pPr>
      <w:r w:rsidR="1BEF1E1A">
        <w:rPr>
          <w:b w:val="0"/>
          <w:bCs w:val="0"/>
        </w:rPr>
        <w:t xml:space="preserve">The </w:t>
      </w:r>
      <w:r w:rsidR="70CFAC2A">
        <w:rPr>
          <w:b w:val="0"/>
          <w:bCs w:val="0"/>
        </w:rPr>
        <w:t xml:space="preserve">above sources </w:t>
      </w:r>
      <w:r w:rsidR="70CFAC2A">
        <w:rPr>
          <w:b w:val="0"/>
          <w:bCs w:val="0"/>
        </w:rPr>
        <w:t>indicate</w:t>
      </w:r>
      <w:r w:rsidR="70CFAC2A">
        <w:rPr>
          <w:b w:val="0"/>
          <w:bCs w:val="0"/>
        </w:rPr>
        <w:t xml:space="preserve"> that the number of supplements used increases as consumers age in addition there is a slight trend that the users who take 4 or more </w:t>
      </w:r>
      <w:r w:rsidR="4E4B08A5">
        <w:rPr>
          <w:b w:val="0"/>
          <w:bCs w:val="0"/>
        </w:rPr>
        <w:t>supplements</w:t>
      </w:r>
      <w:r w:rsidR="70CFAC2A">
        <w:rPr>
          <w:b w:val="0"/>
          <w:bCs w:val="0"/>
        </w:rPr>
        <w:t xml:space="preserve"> tend to stay </w:t>
      </w:r>
      <w:r w:rsidR="47E47241">
        <w:rPr>
          <w:b w:val="0"/>
          <w:bCs w:val="0"/>
        </w:rPr>
        <w:t>more consistent throughout various age demographics</w:t>
      </w:r>
      <w:r w:rsidR="54760394">
        <w:rPr>
          <w:b w:val="0"/>
          <w:bCs w:val="0"/>
        </w:rPr>
        <w:t xml:space="preserve">. This </w:t>
      </w:r>
      <w:r w:rsidR="54760394">
        <w:rPr>
          <w:b w:val="0"/>
          <w:bCs w:val="0"/>
        </w:rPr>
        <w:t>indicates</w:t>
      </w:r>
      <w:r w:rsidR="54760394">
        <w:rPr>
          <w:b w:val="0"/>
          <w:bCs w:val="0"/>
        </w:rPr>
        <w:t xml:space="preserve"> that both of our </w:t>
      </w:r>
      <w:r w:rsidR="54760394">
        <w:rPr>
          <w:b w:val="0"/>
          <w:bCs w:val="0"/>
        </w:rPr>
        <w:t>initial</w:t>
      </w:r>
      <w:r w:rsidR="54760394">
        <w:rPr>
          <w:b w:val="0"/>
          <w:bCs w:val="0"/>
        </w:rPr>
        <w:t xml:space="preserve"> premises for the </w:t>
      </w:r>
      <w:r w:rsidR="784FBFA0">
        <w:rPr>
          <w:b w:val="0"/>
          <w:bCs w:val="0"/>
        </w:rPr>
        <w:t>high-end</w:t>
      </w:r>
      <w:r w:rsidR="54760394">
        <w:rPr>
          <w:b w:val="0"/>
          <w:bCs w:val="0"/>
        </w:rPr>
        <w:t xml:space="preserve"> supplement users are true. </w:t>
      </w:r>
      <w:r w:rsidR="54760394">
        <w:rPr>
          <w:b w:val="0"/>
          <w:bCs w:val="0"/>
        </w:rPr>
        <w:t xml:space="preserve">In </w:t>
      </w:r>
      <w:r w:rsidR="02C04977">
        <w:rPr>
          <w:b w:val="0"/>
          <w:bCs w:val="0"/>
        </w:rPr>
        <w:t>addition,</w:t>
      </w:r>
      <w:r w:rsidR="54760394">
        <w:rPr>
          <w:b w:val="0"/>
          <w:bCs w:val="0"/>
        </w:rPr>
        <w:t xml:space="preserve"> the data show that there is an extremely wide range of supplements </w:t>
      </w:r>
      <w:r w:rsidR="0CB45262">
        <w:rPr>
          <w:b w:val="0"/>
          <w:bCs w:val="0"/>
        </w:rPr>
        <w:t>that are taken by different users</w:t>
      </w:r>
      <w:r w:rsidR="253EBD42">
        <w:rPr>
          <w:b w:val="0"/>
          <w:bCs w:val="0"/>
        </w:rPr>
        <w:t>.</w:t>
      </w:r>
      <w:r w:rsidR="253EBD42">
        <w:rPr>
          <w:b w:val="0"/>
          <w:bCs w:val="0"/>
        </w:rPr>
        <w:t xml:space="preserve"> Because we do not have data on how many </w:t>
      </w:r>
      <w:r w:rsidR="253EBD42">
        <w:rPr>
          <w:b w:val="0"/>
          <w:bCs w:val="0"/>
        </w:rPr>
        <w:t>use</w:t>
      </w:r>
      <w:r w:rsidR="253EBD42">
        <w:rPr>
          <w:b w:val="0"/>
          <w:bCs w:val="0"/>
        </w:rPr>
        <w:t xml:space="preserve"> more than four supplements it is essential to </w:t>
      </w:r>
      <w:r w:rsidR="63EB2CDF">
        <w:rPr>
          <w:b w:val="0"/>
          <w:bCs w:val="0"/>
        </w:rPr>
        <w:t xml:space="preserve">have a solid margin of error with the selected slot #. IT should also be considered that the data shows both an increase in use in terms of % of population </w:t>
      </w:r>
      <w:r w:rsidR="63EB2CDF">
        <w:rPr>
          <w:b w:val="0"/>
          <w:bCs w:val="0"/>
        </w:rPr>
        <w:t>and also</w:t>
      </w:r>
      <w:r w:rsidR="63EB2CDF">
        <w:rPr>
          <w:b w:val="0"/>
          <w:bCs w:val="0"/>
        </w:rPr>
        <w:t xml:space="preserve"> an increase in the number of produc</w:t>
      </w:r>
      <w:r w:rsidR="22901211">
        <w:rPr>
          <w:b w:val="0"/>
          <w:bCs w:val="0"/>
        </w:rPr>
        <w:t xml:space="preserve">ts used. </w:t>
      </w:r>
    </w:p>
    <w:p w:rsidR="69ECC0F6" w:rsidP="54F8BC62" w:rsidRDefault="69ECC0F6" w14:paraId="1EC2BE00" w14:textId="39C8936E">
      <w:pPr>
        <w:pStyle w:val="Normal"/>
        <w:rPr>
          <w:b w:val="1"/>
          <w:bCs w:val="1"/>
        </w:rPr>
      </w:pPr>
      <w:r w:rsidRPr="54F8BC62" w:rsidR="69ECC0F6">
        <w:rPr>
          <w:b w:val="1"/>
          <w:bCs w:val="1"/>
        </w:rPr>
        <w:t>Recommendation for slot #</w:t>
      </w:r>
    </w:p>
    <w:p w:rsidR="6984D433" w:rsidP="54F8BC62" w:rsidRDefault="6984D433" w14:paraId="053B08A9" w14:textId="61137AAE">
      <w:pPr>
        <w:pStyle w:val="Normal"/>
        <w:rPr>
          <w:b w:val="0"/>
          <w:bCs w:val="0"/>
        </w:rPr>
      </w:pPr>
      <w:r w:rsidR="6984D433">
        <w:rPr>
          <w:b w:val="0"/>
          <w:bCs w:val="0"/>
        </w:rPr>
        <w:t xml:space="preserve">We should use a 5 or 6 slot design as the usage above 4 </w:t>
      </w:r>
      <w:r w:rsidR="199AF84B">
        <w:rPr>
          <w:b w:val="0"/>
          <w:bCs w:val="0"/>
        </w:rPr>
        <w:t>supplements</w:t>
      </w:r>
      <w:r w:rsidR="6984D433">
        <w:rPr>
          <w:b w:val="0"/>
          <w:bCs w:val="0"/>
        </w:rPr>
        <w:t xml:space="preserve"> is highly uncommon e</w:t>
      </w:r>
      <w:r w:rsidR="2E0C1DA7">
        <w:rPr>
          <w:b w:val="0"/>
          <w:bCs w:val="0"/>
        </w:rPr>
        <w:t xml:space="preserve">ven with older consumers. Going above 4 will </w:t>
      </w:r>
      <w:r w:rsidR="2E0C1DA7">
        <w:rPr>
          <w:b w:val="0"/>
          <w:bCs w:val="0"/>
        </w:rPr>
        <w:t>account</w:t>
      </w:r>
      <w:r w:rsidR="2E0C1DA7">
        <w:rPr>
          <w:b w:val="0"/>
          <w:bCs w:val="0"/>
        </w:rPr>
        <w:t xml:space="preserve"> for any extreme users, anyone beyond 6 is an outlier that we can address with a future product if the market demands it</w:t>
      </w:r>
      <w:r w:rsidR="69D81C6D">
        <w:rPr>
          <w:b w:val="0"/>
          <w:bCs w:val="0"/>
        </w:rPr>
        <w:t>.</w:t>
      </w:r>
      <w:r w:rsidR="2E0C1DA7">
        <w:rPr>
          <w:b w:val="0"/>
          <w:bCs w:val="0"/>
        </w:rPr>
        <w:t xml:space="preserve"> </w:t>
      </w:r>
    </w:p>
    <w:p w:rsidR="16262D9B" w:rsidP="54F8BC62" w:rsidRDefault="16262D9B" w14:paraId="62955B15" w14:textId="29E96123">
      <w:pPr>
        <w:pStyle w:val="Normal"/>
        <w:rPr>
          <w:b w:val="1"/>
          <w:bCs w:val="1"/>
        </w:rPr>
      </w:pPr>
      <w:r w:rsidRPr="54F8BC62" w:rsidR="16262D9B">
        <w:rPr>
          <w:b w:val="1"/>
          <w:bCs w:val="1"/>
        </w:rPr>
        <w:t xml:space="preserve">Sources </w:t>
      </w:r>
    </w:p>
    <w:p w:rsidR="16262D9B" w:rsidP="54F8BC62" w:rsidRDefault="16262D9B" w14:paraId="5F6D51E0" w14:textId="412A3C7B">
      <w:pPr>
        <w:pStyle w:val="ListParagraph"/>
        <w:numPr>
          <w:ilvl w:val="0"/>
          <w:numId w:val="2"/>
        </w:numPr>
        <w:rPr>
          <w:b w:val="1"/>
          <w:bCs w:val="1"/>
        </w:rPr>
      </w:pPr>
      <w:hyperlink r:id="R844c8626141e422b">
        <w:r w:rsidRPr="54F8BC62" w:rsidR="16262D9B">
          <w:rPr>
            <w:rStyle w:val="Hyperlink"/>
            <w:b w:val="1"/>
            <w:bCs w:val="1"/>
          </w:rPr>
          <w:t>https://www.nutraingredients.com/Article/2022/07/12/most-people-in-eu-read-labels-and-take-supplements-safely</w:t>
        </w:r>
      </w:hyperlink>
    </w:p>
    <w:p w:rsidR="16262D9B" w:rsidP="54F8BC62" w:rsidRDefault="16262D9B" w14:paraId="7FA2428C" w14:textId="2D9D8F31">
      <w:pPr>
        <w:pStyle w:val="ListParagraph"/>
        <w:numPr>
          <w:ilvl w:val="0"/>
          <w:numId w:val="2"/>
        </w:numPr>
        <w:rPr>
          <w:b w:val="1"/>
          <w:bCs w:val="1"/>
        </w:rPr>
      </w:pPr>
      <w:hyperlink r:id="R34a49a8340514b51">
        <w:r w:rsidRPr="54F8BC62" w:rsidR="16262D9B">
          <w:rPr>
            <w:rStyle w:val="Hyperlink"/>
            <w:b w:val="1"/>
            <w:bCs w:val="1"/>
          </w:rPr>
          <w:t>https://pubmed.ncbi.nlm.nih.gov/29184939/</w:t>
        </w:r>
      </w:hyperlink>
    </w:p>
    <w:p w:rsidR="16262D9B" w:rsidP="54F8BC62" w:rsidRDefault="16262D9B" w14:paraId="06319208" w14:textId="1E41A7CB">
      <w:pPr>
        <w:pStyle w:val="ListParagraph"/>
        <w:numPr>
          <w:ilvl w:val="0"/>
          <w:numId w:val="2"/>
        </w:numPr>
        <w:rPr>
          <w:b w:val="1"/>
          <w:bCs w:val="1"/>
        </w:rPr>
      </w:pPr>
      <w:hyperlink r:id="R3a7314eea7cf4544">
        <w:r w:rsidRPr="54F8BC62" w:rsidR="16262D9B">
          <w:rPr>
            <w:rStyle w:val="Hyperlink"/>
            <w:b w:val="1"/>
            <w:bCs w:val="1"/>
          </w:rPr>
          <w:t>https://www.rivm.nl/bibliotheek/rapporten/350100001.html</w:t>
        </w:r>
      </w:hyperlink>
    </w:p>
    <w:p w:rsidR="16262D9B" w:rsidP="54F8BC62" w:rsidRDefault="16262D9B" w14:paraId="15F70B62" w14:textId="785F60BF">
      <w:pPr>
        <w:pStyle w:val="ListParagraph"/>
        <w:numPr>
          <w:ilvl w:val="0"/>
          <w:numId w:val="2"/>
        </w:numPr>
        <w:rPr>
          <w:b w:val="1"/>
          <w:bCs w:val="1"/>
        </w:rPr>
      </w:pPr>
      <w:hyperlink r:id="Ra39d6d92c4fa4399">
        <w:r w:rsidRPr="54F8BC62" w:rsidR="16262D9B">
          <w:rPr>
            <w:rStyle w:val="Hyperlink"/>
            <w:b w:val="1"/>
            <w:bCs w:val="1"/>
          </w:rPr>
          <w:t>https://www.fortunebusinessinsights.com/industry-reports/europe-dietary-supplements-market-101918</w:t>
        </w:r>
      </w:hyperlink>
      <w:r w:rsidRPr="54F8BC62" w:rsidR="16262D9B">
        <w:rPr>
          <w:b w:val="1"/>
          <w:bCs w:val="1"/>
        </w:rPr>
        <w:t xml:space="preserve"> </w:t>
      </w:r>
    </w:p>
    <w:p w:rsidR="16262D9B" w:rsidP="54F8BC62" w:rsidRDefault="16262D9B" w14:paraId="4A772A32" w14:textId="3EFF55A2">
      <w:pPr>
        <w:pStyle w:val="ListParagraph"/>
        <w:numPr>
          <w:ilvl w:val="0"/>
          <w:numId w:val="2"/>
        </w:numPr>
        <w:rPr>
          <w:b w:val="1"/>
          <w:bCs w:val="1"/>
        </w:rPr>
      </w:pPr>
      <w:hyperlink r:id="R71e0ae048a924984">
        <w:r w:rsidRPr="54F8BC62" w:rsidR="16262D9B">
          <w:rPr>
            <w:rStyle w:val="Hyperlink"/>
            <w:b w:val="1"/>
            <w:bCs w:val="1"/>
          </w:rPr>
          <w:t>https://www.ipsos.com/en/nutrition-pill-europeans-attitudes-towards-food-supplements</w:t>
        </w:r>
      </w:hyperlink>
      <w:r w:rsidRPr="54F8BC62" w:rsidR="16262D9B">
        <w:rPr>
          <w:b w:val="1"/>
          <w:bCs w:val="1"/>
        </w:rPr>
        <w:t xml:space="preserve"> </w:t>
      </w:r>
    </w:p>
    <w:p w:rsidR="54F8BC62" w:rsidRDefault="54F8BC62" w14:paraId="22FDA853" w14:textId="285299F0">
      <w:r>
        <w:br w:type="page"/>
      </w:r>
    </w:p>
    <w:p w:rsidR="6BD7A210" w:rsidP="54F8BC62" w:rsidRDefault="6BD7A210" w14:paraId="5FB37819" w14:textId="055E9F75">
      <w:pPr>
        <w:pStyle w:val="ListParagraph"/>
        <w:numPr>
          <w:ilvl w:val="0"/>
          <w:numId w:val="2"/>
        </w:numPr>
        <w:rPr>
          <w:b w:val="1"/>
          <w:bCs w:val="1"/>
        </w:rPr>
      </w:pPr>
      <w:hyperlink r:id="R2a62ce9a44e24472">
        <w:r w:rsidRPr="54F8BC62" w:rsidR="6BD7A210">
          <w:rPr>
            <w:rStyle w:val="Hyperlink"/>
            <w:b w:val="1"/>
            <w:bCs w:val="1"/>
          </w:rPr>
          <w:t>https://foodsupplementseurope.org/who-takes-food-supplements-and-why/</w:t>
        </w:r>
      </w:hyperlink>
      <w:r w:rsidRPr="54F8BC62" w:rsidR="6BD7A210">
        <w:rPr>
          <w:b w:val="1"/>
          <w:bCs w:val="1"/>
        </w:rPr>
        <w:t xml:space="preserve"> </w:t>
      </w:r>
    </w:p>
    <w:p w:rsidR="6BD7A210" w:rsidP="54F8BC62" w:rsidRDefault="6BD7A210" w14:paraId="085A312E" w14:textId="31B944ED">
      <w:pPr>
        <w:pStyle w:val="ListParagraph"/>
        <w:numPr>
          <w:ilvl w:val="0"/>
          <w:numId w:val="2"/>
        </w:numPr>
        <w:rPr>
          <w:b w:val="1"/>
          <w:bCs w:val="1"/>
        </w:rPr>
      </w:pPr>
      <w:hyperlink r:id="R2cdd767c796545c4">
        <w:r w:rsidRPr="54F8BC62" w:rsidR="6BD7A210">
          <w:rPr>
            <w:rStyle w:val="Hyperlink"/>
            <w:b w:val="1"/>
            <w:bCs w:val="1"/>
          </w:rPr>
          <w:t>https://www.cdc.gov/nchs/products/databriefs/db399.htm</w:t>
        </w:r>
      </w:hyperlink>
      <w:r w:rsidRPr="54F8BC62" w:rsidR="6BD7A210">
        <w:rPr>
          <w:b w:val="1"/>
          <w:bCs w:val="1"/>
        </w:rPr>
        <w:t xml:space="preserve"> </w:t>
      </w:r>
    </w:p>
    <w:p w:rsidR="6BD7A210" w:rsidP="54F8BC62" w:rsidRDefault="6BD7A210" w14:paraId="6CE5AC0B" w14:textId="172A125B">
      <w:pPr>
        <w:pStyle w:val="ListParagraph"/>
        <w:numPr>
          <w:ilvl w:val="0"/>
          <w:numId w:val="2"/>
        </w:numPr>
        <w:rPr>
          <w:b w:val="1"/>
          <w:bCs w:val="1"/>
        </w:rPr>
      </w:pPr>
      <w:hyperlink r:id="R64d32ac45e244ed5">
        <w:r w:rsidRPr="54F8BC62" w:rsidR="6BD7A210">
          <w:rPr>
            <w:rStyle w:val="Hyperlink"/>
            <w:b w:val="1"/>
            <w:bCs w:val="1"/>
          </w:rPr>
          <w:t>https://www.pennmedicine.org/updates/blogs/health-and-wellness/2020/february/the-truth-about-supplements</w:t>
        </w:r>
      </w:hyperlink>
      <w:r w:rsidRPr="54F8BC62" w:rsidR="6BD7A210">
        <w:rPr>
          <w:b w:val="1"/>
          <w:bCs w:val="1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3cc866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848068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7780a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F94C5F"/>
    <w:rsid w:val="02C04977"/>
    <w:rsid w:val="055C9229"/>
    <w:rsid w:val="06A4DF51"/>
    <w:rsid w:val="08B11B80"/>
    <w:rsid w:val="0CB45262"/>
    <w:rsid w:val="11F41CFE"/>
    <w:rsid w:val="1571E39F"/>
    <w:rsid w:val="1571E39F"/>
    <w:rsid w:val="15F94C5F"/>
    <w:rsid w:val="16262D9B"/>
    <w:rsid w:val="199AF84B"/>
    <w:rsid w:val="1BEF1E1A"/>
    <w:rsid w:val="22901211"/>
    <w:rsid w:val="24CE8C53"/>
    <w:rsid w:val="253EBD42"/>
    <w:rsid w:val="266A5CB4"/>
    <w:rsid w:val="266A5CB4"/>
    <w:rsid w:val="2E0C1DA7"/>
    <w:rsid w:val="2E5C1327"/>
    <w:rsid w:val="362E026A"/>
    <w:rsid w:val="47E47241"/>
    <w:rsid w:val="4A0136D9"/>
    <w:rsid w:val="4A8BB13B"/>
    <w:rsid w:val="4AA124EB"/>
    <w:rsid w:val="4BB0F104"/>
    <w:rsid w:val="4E4B08A5"/>
    <w:rsid w:val="50C5A310"/>
    <w:rsid w:val="50C5A310"/>
    <w:rsid w:val="53FD43D2"/>
    <w:rsid w:val="54760394"/>
    <w:rsid w:val="54F8BC62"/>
    <w:rsid w:val="58B507D6"/>
    <w:rsid w:val="5A50D837"/>
    <w:rsid w:val="5DF6D6FD"/>
    <w:rsid w:val="604FE0BE"/>
    <w:rsid w:val="63EB2CDF"/>
    <w:rsid w:val="6984D433"/>
    <w:rsid w:val="69D81C6D"/>
    <w:rsid w:val="69ECC0F6"/>
    <w:rsid w:val="6B5D43B6"/>
    <w:rsid w:val="6BD7A210"/>
    <w:rsid w:val="6E94E478"/>
    <w:rsid w:val="6FAB13B5"/>
    <w:rsid w:val="70CFAC2A"/>
    <w:rsid w:val="73A998D8"/>
    <w:rsid w:val="75456939"/>
    <w:rsid w:val="76DD3392"/>
    <w:rsid w:val="76DD3392"/>
    <w:rsid w:val="784FBFA0"/>
    <w:rsid w:val="7EB07106"/>
    <w:rsid w:val="7EB0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69F17"/>
  <w15:chartTrackingRefBased/>
  <w15:docId w15:val="{596F783A-9F5C-4B7F-942B-7F677E39F7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9e38cfffcc1f45a0" /><Relationship Type="http://schemas.openxmlformats.org/officeDocument/2006/relationships/image" Target="/media/image2.png" Id="Rc600173dec564aab" /><Relationship Type="http://schemas.openxmlformats.org/officeDocument/2006/relationships/image" Target="/media/image3.png" Id="Rdc250796942e4d03" /><Relationship Type="http://schemas.openxmlformats.org/officeDocument/2006/relationships/image" Target="/media/image4.png" Id="R35c09bdef63a49de" /><Relationship Type="http://schemas.openxmlformats.org/officeDocument/2006/relationships/hyperlink" Target="https://www.nutraingredients.com/Article/2022/07/12/most-people-in-eu-read-labels-and-take-supplements-safely" TargetMode="External" Id="R844c8626141e422b" /><Relationship Type="http://schemas.openxmlformats.org/officeDocument/2006/relationships/hyperlink" Target="https://pubmed.ncbi.nlm.nih.gov/29184939/" TargetMode="External" Id="R34a49a8340514b51" /><Relationship Type="http://schemas.openxmlformats.org/officeDocument/2006/relationships/hyperlink" Target="https://www.rivm.nl/bibliotheek/rapporten/350100001.html" TargetMode="External" Id="R3a7314eea7cf4544" /><Relationship Type="http://schemas.openxmlformats.org/officeDocument/2006/relationships/hyperlink" Target="https://www.fortunebusinessinsights.com/industry-reports/europe-dietary-supplements-market-101918" TargetMode="External" Id="Ra39d6d92c4fa4399" /><Relationship Type="http://schemas.openxmlformats.org/officeDocument/2006/relationships/hyperlink" Target="https://www.ipsos.com/en/nutrition-pill-europeans-attitudes-towards-food-supplements" TargetMode="External" Id="R71e0ae048a924984" /><Relationship Type="http://schemas.openxmlformats.org/officeDocument/2006/relationships/hyperlink" Target="https://foodsupplementseurope.org/who-takes-food-supplements-and-why/" TargetMode="External" Id="R2a62ce9a44e24472" /><Relationship Type="http://schemas.openxmlformats.org/officeDocument/2006/relationships/hyperlink" Target="https://www.cdc.gov/nchs/products/databriefs/db399.htm" TargetMode="External" Id="R2cdd767c796545c4" /><Relationship Type="http://schemas.openxmlformats.org/officeDocument/2006/relationships/hyperlink" Target="https://www.pennmedicine.org/updates/blogs/health-and-wellness/2020/february/the-truth-about-supplements" TargetMode="External" Id="R64d32ac45e244ed5" /><Relationship Type="http://schemas.openxmlformats.org/officeDocument/2006/relationships/numbering" Target="numbering.xml" Id="R8b1ca4383c2549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2023-06-13T13:12:58.0144594Z</dcterms:created>
  <dcterms:modified xsi:type="dcterms:W3CDTF">2023-06-14T11:15:40.6429142Z</dcterms:modified>
  <dc:creator>Pedersen, E.R.J. (Ellis, Student B-IDE)</dc:creator>
  <lastModifiedBy>Bakker, N.S. (Nikki, Student B-IDE)</lastModifiedBy>
</coreProperties>
</file>